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9C" w:rsidRDefault="00000000">
      <w:pPr>
        <w:spacing w:after="40"/>
        <w:jc w:val="center"/>
      </w:pPr>
      <w:r>
        <w:rPr>
          <w:rFonts w:ascii="Arial" w:eastAsia="Arial" w:hAnsi="Arial" w:cs="Arial"/>
          <w:b/>
          <w:bCs/>
          <w:color w:val="241726"/>
          <w:sz w:val="30"/>
          <w:szCs w:val="30"/>
        </w:rPr>
        <w:t>CHECKLIST PARA ARRENDAR UNA PROPIEDAD</w:t>
      </w:r>
    </w:p>
    <w:p w:rsidR="008B0C9C" w:rsidRDefault="00000000">
      <w:pPr>
        <w:spacing w:after="60"/>
        <w:jc w:val="center"/>
        <w:rPr>
          <w:rFonts w:ascii="Arial" w:eastAsia="Arial" w:hAnsi="Arial" w:cs="Arial"/>
          <w:b/>
          <w:bCs/>
          <w:color w:val="8E1152"/>
          <w:sz w:val="22"/>
          <w:szCs w:val="22"/>
        </w:rPr>
      </w:pPr>
      <w:r>
        <w:rPr>
          <w:rFonts w:ascii="Arial" w:eastAsia="Arial" w:hAnsi="Arial" w:cs="Arial"/>
          <w:b/>
          <w:bCs/>
          <w:color w:val="8E1152"/>
          <w:sz w:val="22"/>
          <w:szCs w:val="22"/>
        </w:rPr>
        <w:t>GUÍA PARA ARRENDADOR Y ARRENDATARIO</w:t>
      </w:r>
    </w:p>
    <w:p w:rsidR="00791D2B" w:rsidRDefault="00791D2B">
      <w:pPr>
        <w:spacing w:after="60"/>
        <w:jc w:val="center"/>
      </w:pPr>
    </w:p>
    <w:p w:rsidR="008B0C9C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241726"/>
          <w:sz w:val="21"/>
          <w:szCs w:val="21"/>
        </w:rPr>
        <w:t>Ficha rápida de la operación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1"/>
        <w:gridCol w:w="6483"/>
      </w:tblGrid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Tipo de inmueble (casa / depto. / oficina / local comercial)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Dirección completa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Arrendador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Arrendatario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Renta mensual pactada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Reajustabilidad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Plazo del contrato (fijo / indefinido / mes a mes)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Monto de la garantía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  <w:tr w:rsidR="008B0C9C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000000">
            <w:r>
              <w:rPr>
                <w:rFonts w:ascii="Arial" w:eastAsia="Arial" w:hAnsi="Arial" w:cs="Arial"/>
                <w:b/>
                <w:bCs/>
                <w:color w:val="6B5A66"/>
                <w:sz w:val="18"/>
                <w:szCs w:val="18"/>
              </w:rPr>
              <w:t>Fecha de inicio del contrato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B0C9C" w:rsidRDefault="008B0C9C"/>
        </w:tc>
      </w:tr>
    </w:tbl>
    <w:p w:rsidR="008B0C9C" w:rsidRDefault="008B0C9C">
      <w:pPr>
        <w:spacing w:after="2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0"/>
      </w:tblGrid>
      <w:tr w:rsidR="008B0C9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8E1152"/>
            <w:tcMar>
              <w:top w:w="200" w:type="dxa"/>
              <w:left w:w="260" w:type="dxa"/>
              <w:bottom w:w="200" w:type="dxa"/>
              <w:right w:w="260" w:type="dxa"/>
            </w:tcMar>
            <w:vAlign w:val="center"/>
          </w:tcPr>
          <w:p w:rsidR="008B0C9C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F2C8E8"/>
                <w:sz w:val="18"/>
                <w:szCs w:val="18"/>
              </w:rPr>
              <w:t>PARTE I</w:t>
            </w:r>
          </w:p>
          <w:p w:rsidR="008B0C9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5"/>
                <w:szCs w:val="25"/>
              </w:rPr>
              <w:t>CHECKLIST PARA EL ARRENDADOR</w:t>
            </w:r>
          </w:p>
        </w:tc>
      </w:tr>
    </w:tbl>
    <w:p w:rsidR="008B0C9C" w:rsidRDefault="008B0C9C">
      <w:pPr>
        <w:spacing w:after="120"/>
      </w:pP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I. ANTES DE ARRENDAR — SELECCIÓN DEL ARRENDATARIO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la identidad del arrendatario mediante cédula nacional de identidad vigente y, si corresponde, la del aval o codeudor solidario.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Solicitar antecedentes que permitan evaluar la solvencia del arrendatario: liquidaciones de renta, informe comercial, referencias de arriendos anteriores.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Si se exige aval o fiador y codeudor solidario, verificar su identidad y solvencia, dejando constancia expresa de la solidaridad en el contrato.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Reunir el certificado de dominio vigente del inmueble, con antigüedad no superior a 30 días, exigido por la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Ley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21.461</w:t>
      </w:r>
      <w:r>
        <w:rPr>
          <w:rFonts w:ascii="Arial" w:eastAsia="Arial" w:hAnsi="Arial" w:cs="Arial"/>
          <w:sz w:val="21"/>
          <w:szCs w:val="21"/>
        </w:rPr>
        <w:t xml:space="preserve"> para acreditar la calidad de propietario al momento de contratar.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que el inmueble se encuentre al día en contribuciones y gastos comunes antes de arrendarlo.</w:t>
      </w: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II. REDACCIÓN DEL CONTRATO DE ARRIENDO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Individualización completa de las partes (arrendador, arrendatario y aval, si corresponde) y del inmueble arrendado.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Monto de la renta, fecha y forma de pago, y sistema de reajustabilidad pactado.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lastRenderedPageBreak/>
        <w:t xml:space="preserve">☐  </w:t>
      </w:r>
      <w:r>
        <w:rPr>
          <w:rFonts w:ascii="Arial" w:eastAsia="Arial" w:hAnsi="Arial" w:cs="Arial"/>
          <w:sz w:val="21"/>
          <w:szCs w:val="21"/>
        </w:rPr>
        <w:t>Plazo del contrato (fijo, indefinido o mes a mes) y reglas de renovación o tácita reconducción.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Monto y destino de la garantía pactada, y condiciones expresas para su restitución al término del contrato.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Individualización del estado del inmueble al momento de la entrega, mediante inventario y respaldo fotográfico.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Cláusula sobre el destino del inmueble (habitacional, comercial u otro) y prohibición de subarrendar sin autorización expresa.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Cláusula sobre responsabilidad por reparaciones locativas y por daños que excedan el desgaste natural del uso.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Cláusula de terminación anticipada y sus efectos (aviso previo, indemnización si corresponde).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Firma de todas las partes; evaluar la conveniencia de autorizar las firmas ante notario para reforzar el mérito ejecutivo del contrato.</w:t>
      </w: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III. DURANTE LA VIGENCIA DEL CONTRATO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Emitir y conservar comprobantes de cada pago de renta recibido (transferencia, boleta o recibo firmado): la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Ley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21.461</w:t>
      </w:r>
      <w:r>
        <w:rPr>
          <w:rFonts w:ascii="Arial" w:eastAsia="Arial" w:hAnsi="Arial" w:cs="Arial"/>
          <w:sz w:val="21"/>
          <w:szCs w:val="21"/>
        </w:rPr>
        <w:t xml:space="preserve"> presume el monto de la renta a partir de estos comprobantes cuando no existe contrato escrito.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Mantener actualizados los datos de contacto del arrendatario para efectos de notificaciones.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Formalizar por escrito y con la conformidad de ambas partes cualquier modificación posterior de la renta o de las condiciones pactadas.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Evaluar la situación tributaria del arriendo: la renta debe declararse conforme al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artículo 20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1 de la Ley sobre Impuesto a la Renta</w:t>
      </w:r>
      <w:r>
        <w:rPr>
          <w:rFonts w:ascii="Arial" w:eastAsia="Arial" w:hAnsi="Arial" w:cs="Arial"/>
          <w:sz w:val="21"/>
          <w:szCs w:val="21"/>
        </w:rPr>
        <w:t xml:space="preserve">, y verificar si la operación está afecta a IVA conforme al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artículo 8° letra g) del D.L.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825</w:t>
      </w:r>
      <w:r>
        <w:rPr>
          <w:rFonts w:ascii="Arial" w:eastAsia="Arial" w:hAnsi="Arial" w:cs="Arial"/>
          <w:sz w:val="21"/>
          <w:szCs w:val="21"/>
        </w:rPr>
        <w:t xml:space="preserve"> (inmuebles amoblados o con instalaciones para el ejercicio de una actividad comercial o industrial).</w:t>
      </w: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IV. FRENTE AL INCUMPLIMIENTO O AL TÉRMINO DEL CONTRATO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Ante la falta de pago de una o más rentas, evaluar el </w:t>
      </w:r>
      <w:r>
        <w:rPr>
          <w:rFonts w:ascii="Arial" w:eastAsia="Arial" w:hAnsi="Arial" w:cs="Arial"/>
          <w:b/>
          <w:bCs/>
          <w:sz w:val="21"/>
          <w:szCs w:val="21"/>
        </w:rPr>
        <w:t>procedimiento monitorio</w:t>
      </w:r>
      <w:r>
        <w:rPr>
          <w:rFonts w:ascii="Arial" w:eastAsia="Arial" w:hAnsi="Arial" w:cs="Arial"/>
          <w:sz w:val="21"/>
          <w:szCs w:val="21"/>
        </w:rPr>
        <w:t xml:space="preserve"> de cobro y restitución que introdujo la Ley </w:t>
      </w:r>
      <w:proofErr w:type="spellStart"/>
      <w:r>
        <w:rPr>
          <w:rFonts w:ascii="Arial" w:eastAsia="Arial" w:hAnsi="Arial" w:cs="Arial"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21.461, que permite obtener una resolución en un plazo breve si el arrendatario no se opone dentro de los 10 días siguientes a su notificación.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Si el inmueble ha sido dañado gravemente o su uso se ha tornado imposible, evaluar la restitución anticipada que contempla la misma ley, acreditando la situación ante el tribunal con fotografías, informes o testigos.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Para contratos indefinidos o mes a mes, notificar el desahucio con una anticipación mínima de dos meses, aumentada en un mes por cada año completo de ocupación del arrendatario, con un máximo de seis meses (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artículo 3° de la Ley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18.101</w:t>
      </w:r>
      <w:r>
        <w:rPr>
          <w:rFonts w:ascii="Arial" w:eastAsia="Arial" w:hAnsi="Arial" w:cs="Arial"/>
          <w:sz w:val="21"/>
          <w:szCs w:val="21"/>
        </w:rPr>
        <w:t>).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Para contratos a plazo fijo, verificar si el vencimiento opera de forma automática o si existe renovación por haber continuado el arrendatario en el uso del inmueble con consentimiento del arrendador.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lastRenderedPageBreak/>
        <w:t xml:space="preserve">☐  </w:t>
      </w:r>
      <w:r>
        <w:rPr>
          <w:rFonts w:ascii="Arial" w:eastAsia="Arial" w:hAnsi="Arial" w:cs="Arial"/>
          <w:sz w:val="21"/>
          <w:szCs w:val="21"/>
        </w:rPr>
        <w:t>Coordinar la restitución del inmueble mediante acta de entrega, cotejando su estado con el inventario inicial, antes de devolver la garantía.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Devolver la garantía dentro de un plazo razonable una vez verificado el estado del inmueble, descontando únicamente las sumas debidamente justificadas por daños, rentas o gastos comunes impagos.</w:t>
      </w:r>
    </w:p>
    <w:p w:rsidR="008B0C9C" w:rsidRDefault="008B0C9C">
      <w:pPr>
        <w:spacing w:after="26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0"/>
      </w:tblGrid>
      <w:tr w:rsidR="008B0C9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8E1152"/>
            <w:tcMar>
              <w:top w:w="200" w:type="dxa"/>
              <w:left w:w="260" w:type="dxa"/>
              <w:bottom w:w="200" w:type="dxa"/>
              <w:right w:w="260" w:type="dxa"/>
            </w:tcMar>
            <w:vAlign w:val="center"/>
          </w:tcPr>
          <w:p w:rsidR="008B0C9C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F2C8E8"/>
                <w:sz w:val="18"/>
                <w:szCs w:val="18"/>
              </w:rPr>
              <w:t>PARTE II</w:t>
            </w:r>
          </w:p>
          <w:p w:rsidR="008B0C9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5"/>
                <w:szCs w:val="25"/>
              </w:rPr>
              <w:t>CHECKLIST PARA EL ARRENDATARIO</w:t>
            </w:r>
          </w:p>
        </w:tc>
      </w:tr>
    </w:tbl>
    <w:p w:rsidR="008B0C9C" w:rsidRDefault="008B0C9C">
      <w:pPr>
        <w:spacing w:after="120"/>
      </w:pP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I. ANTES DE FIRMAR — REVISIÓN DEL INMUEBLE Y DEL ARRENDADOR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la identidad del arrendador y, en lo posible, solicitar el certificado de dominio vigente del inmueble para confirmar que es su propietario o cuenta con facultades para arrendarlo.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Revisar el estado físico del inmueble (instalaciones eléctricas, sanitarias, gasfitería, humedad) antes de firmar, dejando respaldo fotográfico.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que el inmueble se encuentre al día en gastos comunes y contribuciones, para no asumir deudas ajenas.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Si el inmueble pertenece a una copropiedad, revisar el reglamento de copropiedad y las restricciones de uso aplicables (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Ley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21.442</w:t>
      </w:r>
      <w:r>
        <w:rPr>
          <w:rFonts w:ascii="Arial" w:eastAsia="Arial" w:hAnsi="Arial" w:cs="Arial"/>
          <w:sz w:val="21"/>
          <w:szCs w:val="21"/>
        </w:rPr>
        <w:t>).</w:t>
      </w: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II. REVISIÓN DEL CONTRATO ANTES DE FIRMAR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que el contrato individualice correctamente a las partes, el inmueble, la renta, el plazo y la garantía.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Evitar cláusulas que impongan renuncia anticipada a derechos establecidos en la Ley </w:t>
      </w:r>
      <w:proofErr w:type="spellStart"/>
      <w:r>
        <w:rPr>
          <w:rFonts w:ascii="Arial" w:eastAsia="Arial" w:hAnsi="Arial" w:cs="Arial"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18.101, o que trasladen al arrendatario obligaciones propias del arrendador, como reparaciones estructurales.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el monto exacto de la garantía, su destino y las condiciones expresas pactadas para su devolución al término del contrato.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Revisar las condiciones de reajuste de la renta y la moneda de pago pactada.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Verificar la existencia de cláusulas de término anticipado y sus consecuencias (aviso previo, multas o indemnizaciones).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Confirmar si el contrato exige aval o codeudor solidario y las condiciones de esa garantía personal.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Si el contrato es verbal, conservar todos los comprobantes de pago de la renta (transferencias, boletas, recibos): conforme a la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Ley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21.461</w:t>
      </w:r>
      <w:r>
        <w:rPr>
          <w:rFonts w:ascii="Arial" w:eastAsia="Arial" w:hAnsi="Arial" w:cs="Arial"/>
          <w:sz w:val="21"/>
          <w:szCs w:val="21"/>
        </w:rPr>
        <w:t>, estos sirven para acreditar el monto pactado ante la ausencia de contrato escrito.</w:t>
      </w: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III. DURANTE LA VIGENCIA DEL ARRIENDO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Pagar la renta dentro del plazo pactado y conservar todos los comprobantes de pago.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lastRenderedPageBreak/>
        <w:t xml:space="preserve">☐  </w:t>
      </w:r>
      <w:r>
        <w:rPr>
          <w:rFonts w:ascii="Arial" w:eastAsia="Arial" w:hAnsi="Arial" w:cs="Arial"/>
          <w:sz w:val="21"/>
          <w:szCs w:val="21"/>
        </w:rPr>
        <w:t>Informar oportunamente al arrendador cualquier desperfecto o daño relevante del inmueble.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No subarrendar ni ceder el contrato sin autorización expresa del arrendador, si así se pactó.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Si se desea poner término al contrato antes de su vencimiento, revisar el procedimiento y el aviso previo pactado, para evitar penalidades.</w:t>
      </w:r>
    </w:p>
    <w:p w:rsidR="008B0C9C" w:rsidRDefault="00000000">
      <w:pPr>
        <w:pBdr>
          <w:bottom w:val="single" w:sz="6" w:space="4" w:color="D6266F"/>
        </w:pBdr>
        <w:spacing w:before="300" w:after="140"/>
      </w:pPr>
      <w:r>
        <w:rPr>
          <w:rFonts w:ascii="Arial" w:eastAsia="Arial" w:hAnsi="Arial" w:cs="Arial"/>
          <w:b/>
          <w:bCs/>
          <w:color w:val="8E1152"/>
          <w:sz w:val="24"/>
          <w:szCs w:val="24"/>
        </w:rPr>
        <w:t>IV. AL TÉRMINO DEL CONTRATO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Solicitar por escrito la fecha y forma de restitución del inmueble, y coordinar una visita conjunta para constatar su estado.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Suscribir un acta de entrega que refleje el estado real del inmueble al momento de la restitución.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>Solicitar la devolución de la garantía dentro de un plazo razonable, exigiendo respaldo documental de cualquier descuento que se pretenda aplicar por daños, rentas o gastos impagos.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Si el arrendador no notifica el desahucio conforme a los plazos legales del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artículo 3° de la Ley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18.101</w:t>
      </w:r>
      <w:r>
        <w:rPr>
          <w:rFonts w:ascii="Arial" w:eastAsia="Arial" w:hAnsi="Arial" w:cs="Arial"/>
          <w:sz w:val="21"/>
          <w:szCs w:val="21"/>
        </w:rPr>
        <w:t xml:space="preserve"> (contratos indefinidos o mes a mes), evaluar si corresponde continuar legítimamente en el inmueble hasta el vencimiento del plazo correspondiente.</w:t>
      </w:r>
    </w:p>
    <w:p w:rsidR="008B0C9C" w:rsidRDefault="00000000">
      <w:pPr>
        <w:spacing w:after="90" w:line="276" w:lineRule="auto"/>
        <w:ind w:left="260" w:hanging="260"/>
        <w:jc w:val="both"/>
      </w:pPr>
      <w:r>
        <w:rPr>
          <w:rFonts w:ascii="Arial" w:eastAsia="Arial" w:hAnsi="Arial" w:cs="Arial"/>
          <w:b/>
          <w:bCs/>
          <w:color w:val="D6266F"/>
          <w:sz w:val="21"/>
          <w:szCs w:val="21"/>
        </w:rPr>
        <w:t xml:space="preserve">☐  </w:t>
      </w:r>
      <w:r>
        <w:rPr>
          <w:rFonts w:ascii="Arial" w:eastAsia="Arial" w:hAnsi="Arial" w:cs="Arial"/>
          <w:sz w:val="21"/>
          <w:szCs w:val="21"/>
        </w:rPr>
        <w:t xml:space="preserve">Ante cualquier controversia sobre la restitución de la garantía o sobre el término del contrato, considerar que el </w:t>
      </w:r>
      <w:r>
        <w:rPr>
          <w:rFonts w:ascii="Arial" w:eastAsia="Arial" w:hAnsi="Arial" w:cs="Arial"/>
          <w:b/>
          <w:bCs/>
          <w:sz w:val="21"/>
          <w:szCs w:val="21"/>
        </w:rPr>
        <w:t>procedimiento monitorio</w:t>
      </w:r>
      <w:r>
        <w:rPr>
          <w:rFonts w:ascii="Arial" w:eastAsia="Arial" w:hAnsi="Arial" w:cs="Arial"/>
          <w:sz w:val="21"/>
          <w:szCs w:val="21"/>
        </w:rPr>
        <w:t xml:space="preserve"> de la Ley </w:t>
      </w:r>
      <w:proofErr w:type="spellStart"/>
      <w:r>
        <w:rPr>
          <w:rFonts w:ascii="Arial" w:eastAsia="Arial" w:hAnsi="Arial" w:cs="Arial"/>
          <w:sz w:val="21"/>
          <w:szCs w:val="21"/>
        </w:rPr>
        <w:t>N°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21.461 también puede utilizarse en beneficio del arrendatario para resolver la disputa de forma más expedita.</w:t>
      </w:r>
    </w:p>
    <w:p w:rsidR="008B0C9C" w:rsidRDefault="008B0C9C">
      <w:pPr>
        <w:spacing w:after="200"/>
      </w:pPr>
    </w:p>
    <w:p w:rsidR="008B0C9C" w:rsidRDefault="008B0C9C">
      <w:pPr>
        <w:spacing w:after="150"/>
      </w:pPr>
    </w:p>
    <w:p w:rsidR="008B0C9C" w:rsidRDefault="00000000">
      <w:r>
        <w:rPr>
          <w:rFonts w:ascii="Arial" w:eastAsia="Arial" w:hAnsi="Arial" w:cs="Arial"/>
          <w:i/>
          <w:iCs/>
          <w:color w:val="6B5A66"/>
          <w:sz w:val="18"/>
          <w:szCs w:val="18"/>
        </w:rPr>
        <w:t>Documento de uso referencial para el estudio. Cada operación debe evaluarse conforme a sus antecedentes concretos y a la normativa vigente al momento de su celebración.</w:t>
      </w:r>
    </w:p>
    <w:sectPr w:rsidR="008B0C9C">
      <w:headerReference w:type="default" r:id="rId7"/>
      <w:footerReference w:type="default" r:id="rId8"/>
      <w:pgSz w:w="12240" w:h="15840"/>
      <w:pgMar w:top="1350" w:right="1350" w:bottom="1350" w:left="13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4F7F" w:rsidRDefault="00CD4F7F">
      <w:r>
        <w:separator/>
      </w:r>
    </w:p>
  </w:endnote>
  <w:endnote w:type="continuationSeparator" w:id="0">
    <w:p w:rsidR="00CD4F7F" w:rsidRDefault="00CD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C9C" w:rsidRDefault="008B0C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4F7F" w:rsidRDefault="00CD4F7F">
      <w:r>
        <w:separator/>
      </w:r>
    </w:p>
  </w:footnote>
  <w:footnote w:type="continuationSeparator" w:id="0">
    <w:p w:rsidR="00CD4F7F" w:rsidRDefault="00CD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C9C" w:rsidRDefault="008B0C9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500BB"/>
    <w:multiLevelType w:val="hybridMultilevel"/>
    <w:tmpl w:val="8974CF58"/>
    <w:lvl w:ilvl="0" w:tplc="1AA22526">
      <w:start w:val="1"/>
      <w:numFmt w:val="bullet"/>
      <w:lvlText w:val="●"/>
      <w:lvlJc w:val="left"/>
      <w:pPr>
        <w:ind w:left="720" w:hanging="360"/>
      </w:pPr>
    </w:lvl>
    <w:lvl w:ilvl="1" w:tplc="87E24B6E">
      <w:start w:val="1"/>
      <w:numFmt w:val="bullet"/>
      <w:lvlText w:val="○"/>
      <w:lvlJc w:val="left"/>
      <w:pPr>
        <w:ind w:left="1440" w:hanging="360"/>
      </w:pPr>
    </w:lvl>
    <w:lvl w:ilvl="2" w:tplc="4426DFBC">
      <w:start w:val="1"/>
      <w:numFmt w:val="bullet"/>
      <w:lvlText w:val="■"/>
      <w:lvlJc w:val="left"/>
      <w:pPr>
        <w:ind w:left="2160" w:hanging="360"/>
      </w:pPr>
    </w:lvl>
    <w:lvl w:ilvl="3" w:tplc="EBC8ED88">
      <w:start w:val="1"/>
      <w:numFmt w:val="bullet"/>
      <w:lvlText w:val="●"/>
      <w:lvlJc w:val="left"/>
      <w:pPr>
        <w:ind w:left="2880" w:hanging="360"/>
      </w:pPr>
    </w:lvl>
    <w:lvl w:ilvl="4" w:tplc="FC4A46D2">
      <w:start w:val="1"/>
      <w:numFmt w:val="bullet"/>
      <w:lvlText w:val="○"/>
      <w:lvlJc w:val="left"/>
      <w:pPr>
        <w:ind w:left="3600" w:hanging="360"/>
      </w:pPr>
    </w:lvl>
    <w:lvl w:ilvl="5" w:tplc="682A7A7C">
      <w:start w:val="1"/>
      <w:numFmt w:val="bullet"/>
      <w:lvlText w:val="■"/>
      <w:lvlJc w:val="left"/>
      <w:pPr>
        <w:ind w:left="4320" w:hanging="360"/>
      </w:pPr>
    </w:lvl>
    <w:lvl w:ilvl="6" w:tplc="6FEE9898">
      <w:start w:val="1"/>
      <w:numFmt w:val="bullet"/>
      <w:lvlText w:val="●"/>
      <w:lvlJc w:val="left"/>
      <w:pPr>
        <w:ind w:left="5040" w:hanging="360"/>
      </w:pPr>
    </w:lvl>
    <w:lvl w:ilvl="7" w:tplc="A412C39A">
      <w:start w:val="1"/>
      <w:numFmt w:val="bullet"/>
      <w:lvlText w:val="●"/>
      <w:lvlJc w:val="left"/>
      <w:pPr>
        <w:ind w:left="5760" w:hanging="360"/>
      </w:pPr>
    </w:lvl>
    <w:lvl w:ilvl="8" w:tplc="5EF2F6B0">
      <w:start w:val="1"/>
      <w:numFmt w:val="bullet"/>
      <w:lvlText w:val="●"/>
      <w:lvlJc w:val="left"/>
      <w:pPr>
        <w:ind w:left="6480" w:hanging="360"/>
      </w:pPr>
    </w:lvl>
  </w:abstractNum>
  <w:num w:numId="1" w16cid:durableId="11436997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9C"/>
    <w:rsid w:val="00791D2B"/>
    <w:rsid w:val="008B0C9C"/>
    <w:rsid w:val="00CD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71BB41"/>
  <w15:docId w15:val="{79816D13-866D-9149-8202-EC79D53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91D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1D2B"/>
  </w:style>
  <w:style w:type="paragraph" w:styleId="Piedepgina">
    <w:name w:val="footer"/>
    <w:basedOn w:val="Normal"/>
    <w:link w:val="PiedepginaCar"/>
    <w:uiPriority w:val="99"/>
    <w:unhideWhenUsed/>
    <w:rsid w:val="00791D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2026-08-21T04:03:00Z</dcterms:created>
  <dcterms:modified xsi:type="dcterms:W3CDTF">2026-08-21T04:03:00Z</dcterms:modified>
</cp:coreProperties>
</file>