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319" w:rsidRDefault="00000000" w:rsidP="003B0D80">
      <w:pPr>
        <w:spacing w:after="40"/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  <w:r w:rsidRPr="003B0D80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CHECKLIST COMPRA DE BIEN RAÍZ EN CHILE</w:t>
      </w:r>
    </w:p>
    <w:p w:rsidR="003B0D80" w:rsidRPr="003B0D80" w:rsidRDefault="003B0D80" w:rsidP="003B0D80">
      <w:pPr>
        <w:spacing w:after="40"/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:rsidR="005C7319" w:rsidRPr="003B0D80" w:rsidRDefault="00000000">
      <w:pPr>
        <w:spacing w:before="160" w:after="60"/>
        <w:rPr>
          <w:rFonts w:ascii="Arial" w:hAnsi="Arial" w:cs="Arial"/>
          <w:sz w:val="22"/>
          <w:szCs w:val="22"/>
        </w:rPr>
      </w:pPr>
      <w:r w:rsidRPr="003B0D80">
        <w:rPr>
          <w:rFonts w:ascii="Arial" w:eastAsia="Arial" w:hAnsi="Arial" w:cs="Arial"/>
          <w:b/>
          <w:bCs/>
          <w:color w:val="241726"/>
          <w:sz w:val="22"/>
          <w:szCs w:val="22"/>
        </w:rPr>
        <w:t>Ficha rápida de la operación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1"/>
        <w:gridCol w:w="6483"/>
      </w:tblGrid>
      <w:tr w:rsidR="005C7319" w:rsidRPr="003B0D80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3B0D80">
              <w:rPr>
                <w:rFonts w:ascii="Arial" w:eastAsia="Arial" w:hAnsi="Arial" w:cs="Arial"/>
                <w:b/>
                <w:bCs/>
                <w:color w:val="6B5A66"/>
                <w:sz w:val="22"/>
                <w:szCs w:val="22"/>
              </w:rPr>
              <w:t>Tipo de inmueble (casa / depto. / sitio / comercial / rural)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5C73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319" w:rsidRPr="003B0D80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3B0D80">
              <w:rPr>
                <w:rFonts w:ascii="Arial" w:eastAsia="Arial" w:hAnsi="Arial" w:cs="Arial"/>
                <w:b/>
                <w:bCs/>
                <w:color w:val="6B5A66"/>
                <w:sz w:val="22"/>
                <w:szCs w:val="22"/>
              </w:rPr>
              <w:t>Dirección completa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5C73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319" w:rsidRPr="003B0D80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3B0D80">
              <w:rPr>
                <w:rFonts w:ascii="Arial" w:eastAsia="Arial" w:hAnsi="Arial" w:cs="Arial"/>
                <w:b/>
                <w:bCs/>
                <w:color w:val="6B5A66"/>
                <w:sz w:val="22"/>
                <w:szCs w:val="22"/>
              </w:rPr>
              <w:t>Comuna / región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5C73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319" w:rsidRPr="003B0D80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3B0D80">
              <w:rPr>
                <w:rFonts w:ascii="Arial" w:eastAsia="Arial" w:hAnsi="Arial" w:cs="Arial"/>
                <w:b/>
                <w:bCs/>
                <w:color w:val="6B5A66"/>
                <w:sz w:val="22"/>
                <w:szCs w:val="22"/>
              </w:rPr>
              <w:t>Rol de avalúo fiscal (SII)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5C73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319" w:rsidRPr="003B0D80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3B0D80">
              <w:rPr>
                <w:rFonts w:ascii="Arial" w:eastAsia="Arial" w:hAnsi="Arial" w:cs="Arial"/>
                <w:b/>
                <w:bCs/>
                <w:color w:val="6B5A66"/>
                <w:sz w:val="22"/>
                <w:szCs w:val="22"/>
              </w:rPr>
              <w:t>Vendedor(es)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5C73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319" w:rsidRPr="003B0D80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3B0D80">
              <w:rPr>
                <w:rFonts w:ascii="Arial" w:eastAsia="Arial" w:hAnsi="Arial" w:cs="Arial"/>
                <w:b/>
                <w:bCs/>
                <w:color w:val="6B5A66"/>
                <w:sz w:val="22"/>
                <w:szCs w:val="22"/>
              </w:rPr>
              <w:t>Comprador(es)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5C73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319" w:rsidRPr="003B0D80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3B0D80">
              <w:rPr>
                <w:rFonts w:ascii="Arial" w:eastAsia="Arial" w:hAnsi="Arial" w:cs="Arial"/>
                <w:b/>
                <w:bCs/>
                <w:color w:val="6B5A66"/>
                <w:sz w:val="22"/>
                <w:szCs w:val="22"/>
              </w:rPr>
              <w:t>Precio pactado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5C73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319" w:rsidRPr="003B0D80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3B0D80">
              <w:rPr>
                <w:rFonts w:ascii="Arial" w:eastAsia="Arial" w:hAnsi="Arial" w:cs="Arial"/>
                <w:b/>
                <w:bCs/>
                <w:color w:val="6B5A66"/>
                <w:sz w:val="22"/>
                <w:szCs w:val="22"/>
              </w:rPr>
              <w:t>Forma de pago (contado / pie + crédito / promesa)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5C73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319" w:rsidRPr="003B0D80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3B0D80">
              <w:rPr>
                <w:rFonts w:ascii="Arial" w:eastAsia="Arial" w:hAnsi="Arial" w:cs="Arial"/>
                <w:b/>
                <w:bCs/>
                <w:color w:val="6B5A66"/>
                <w:sz w:val="22"/>
                <w:szCs w:val="22"/>
              </w:rPr>
              <w:t>Fecha estimada de firma de escritura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5C73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7319" w:rsidRPr="003B0D80">
        <w:tblPrEx>
          <w:tblCellMar>
            <w:top w:w="0" w:type="dxa"/>
            <w:bottom w:w="0" w:type="dxa"/>
          </w:tblCellMar>
        </w:tblPrEx>
        <w:tc>
          <w:tcPr>
            <w:tcW w:w="16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3B0D80">
              <w:rPr>
                <w:rFonts w:ascii="Arial" w:eastAsia="Arial" w:hAnsi="Arial" w:cs="Arial"/>
                <w:b/>
                <w:bCs/>
                <w:color w:val="6B5A66"/>
                <w:sz w:val="22"/>
                <w:szCs w:val="22"/>
              </w:rPr>
              <w:t>Banco / entidad financiera (si hay mutuo hipotecario)</w:t>
            </w:r>
          </w:p>
        </w:tc>
        <w:tc>
          <w:tcPr>
            <w:tcW w:w="3400" w:type="pct"/>
            <w:tcBorders>
              <w:top w:val="single" w:sz="2" w:space="0" w:color="D9D2D6"/>
              <w:left w:val="single" w:sz="2" w:space="0" w:color="D9D2D6"/>
              <w:bottom w:val="single" w:sz="2" w:space="0" w:color="D9D2D6"/>
              <w:right w:val="single" w:sz="2" w:space="0" w:color="D9D2D6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5C7319" w:rsidRPr="003B0D80" w:rsidRDefault="005C731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C7319" w:rsidRPr="003B0D80" w:rsidRDefault="005C7319">
      <w:pPr>
        <w:spacing w:after="200"/>
        <w:rPr>
          <w:rFonts w:ascii="Arial" w:hAnsi="Arial" w:cs="Arial"/>
          <w:sz w:val="22"/>
          <w:szCs w:val="22"/>
        </w:rPr>
      </w:pPr>
    </w:p>
    <w:p w:rsidR="005C7319" w:rsidRPr="003B0D80" w:rsidRDefault="00000000">
      <w:pPr>
        <w:pBdr>
          <w:bottom w:val="single" w:sz="6" w:space="4" w:color="D6266F"/>
        </w:pBdr>
        <w:spacing w:before="300" w:after="140"/>
        <w:rPr>
          <w:rFonts w:ascii="Arial" w:hAnsi="Arial" w:cs="Arial"/>
          <w:sz w:val="22"/>
          <w:szCs w:val="22"/>
        </w:rPr>
      </w:pPr>
      <w:r w:rsidRPr="003B0D80">
        <w:rPr>
          <w:rFonts w:ascii="Arial" w:eastAsia="Arial" w:hAnsi="Arial" w:cs="Arial"/>
          <w:b/>
          <w:bCs/>
          <w:color w:val="8E1152"/>
          <w:sz w:val="22"/>
          <w:szCs w:val="22"/>
        </w:rPr>
        <w:t>I. ESTUDIO DE TÍTULOS Y SITUACIÓN JURÍDICA DEL INMUEBLE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Certificado de dominio vigente, con antigüedad no superior a 30 días, emitido por el Conservador de Bienes Raíces (CBR) competente.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Certificado de hipotecas, gravámenes y prohibiciones del CBR.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Certificado de interdicciones y prohibiciones de enajenar (Registro de Interdicciones y Prohibiciones de Enajenar).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Copia autorizada de la inscripción de dominio vigente a nombre del vendedor.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Estudio de la cadena de dominio de, al menos, los últimos 10 años, para cubrir el plazo de prescripción adquisitiva extraordinaria (art. 2.511 Código Civil).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 xml:space="preserve">Verificación de que cada </w:t>
      </w:r>
      <w:proofErr w:type="spellStart"/>
      <w:r w:rsidRPr="003B0D80">
        <w:rPr>
          <w:rFonts w:ascii="Arial" w:eastAsia="Arial" w:hAnsi="Arial" w:cs="Arial"/>
          <w:sz w:val="22"/>
          <w:szCs w:val="22"/>
        </w:rPr>
        <w:t>tradente</w:t>
      </w:r>
      <w:proofErr w:type="spellEnd"/>
      <w:r w:rsidRPr="003B0D80">
        <w:rPr>
          <w:rFonts w:ascii="Arial" w:eastAsia="Arial" w:hAnsi="Arial" w:cs="Arial"/>
          <w:sz w:val="22"/>
          <w:szCs w:val="22"/>
        </w:rPr>
        <w:t xml:space="preserve"> de la cadena adquirió válidamente e inscribió su título.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Certificado de litigios o consulta en tribunales para descartar juicios pendientes sobre el inmueble (reivindicatorias, particiones, embargos).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Revisión de servidumbres activas y pasivas, usufructos, comodatos y arrendamientos vigentes que sean oponibles al comprador.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Verificación de que el inmueble no está afecto a medida precautoria, embargo o prohibición judicial vigente.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lastRenderedPageBreak/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Cotejo del plano de loteo o subdivisión con los deslindes inscritos y la cabida real del predio.</w:t>
      </w:r>
    </w:p>
    <w:p w:rsidR="005C7319" w:rsidRPr="003B0D80" w:rsidRDefault="00000000">
      <w:pPr>
        <w:pBdr>
          <w:bottom w:val="single" w:sz="6" w:space="4" w:color="D6266F"/>
        </w:pBdr>
        <w:spacing w:before="300" w:after="140"/>
        <w:rPr>
          <w:rFonts w:ascii="Arial" w:hAnsi="Arial" w:cs="Arial"/>
          <w:sz w:val="22"/>
          <w:szCs w:val="22"/>
        </w:rPr>
      </w:pPr>
      <w:r w:rsidRPr="003B0D80">
        <w:rPr>
          <w:rFonts w:ascii="Arial" w:eastAsia="Arial" w:hAnsi="Arial" w:cs="Arial"/>
          <w:b/>
          <w:bCs/>
          <w:color w:val="8E1152"/>
          <w:sz w:val="22"/>
          <w:szCs w:val="22"/>
        </w:rPr>
        <w:t>II. SITUACIÓN DEL VENDEDOR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Cédula nacional de identidad vigente del vendedor o de su representante.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Certificado de matrimonio y régimen patrimonial del vendedor (sociedad conyugal, separación de bienes o participación en los gananciales).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 xml:space="preserve">Si el inmueble pertenece a la sociedad conyugal, verificar la autorización del cónyuge no titular exigida por el </w:t>
      </w:r>
      <w:r w:rsidRPr="003B0D80">
        <w:rPr>
          <w:rFonts w:ascii="Arial" w:eastAsia="Arial" w:hAnsi="Arial" w:cs="Arial"/>
          <w:b/>
          <w:bCs/>
          <w:sz w:val="22"/>
          <w:szCs w:val="22"/>
        </w:rPr>
        <w:t>artículo 1.749 del Código Civil</w:t>
      </w:r>
      <w:r w:rsidRPr="003B0D80">
        <w:rPr>
          <w:rFonts w:ascii="Arial" w:eastAsia="Arial" w:hAnsi="Arial" w:cs="Arial"/>
          <w:sz w:val="22"/>
          <w:szCs w:val="22"/>
        </w:rPr>
        <w:t>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Si el vendedor es persona jurídica: personería vigente del representante, escritura de constitución, vigencia de la sociedad y facultades suficientes para enajenar bienes raíces.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 xml:space="preserve">Si el vendedor es extranjero o el inmueble se ubica en zona fronteriza, revisar las restricciones del </w:t>
      </w:r>
      <w:r w:rsidRPr="003B0D80">
        <w:rPr>
          <w:rFonts w:ascii="Arial" w:eastAsia="Arial" w:hAnsi="Arial" w:cs="Arial"/>
          <w:b/>
          <w:bCs/>
          <w:sz w:val="22"/>
          <w:szCs w:val="22"/>
        </w:rPr>
        <w:t xml:space="preserve">decreto ley </w:t>
      </w:r>
      <w:proofErr w:type="spellStart"/>
      <w:r w:rsidRPr="003B0D80">
        <w:rPr>
          <w:rFonts w:ascii="Arial" w:eastAsia="Arial" w:hAnsi="Arial" w:cs="Arial"/>
          <w:b/>
          <w:bCs/>
          <w:sz w:val="22"/>
          <w:szCs w:val="22"/>
        </w:rPr>
        <w:t>N°</w:t>
      </w:r>
      <w:proofErr w:type="spellEnd"/>
      <w:r w:rsidRPr="003B0D80">
        <w:rPr>
          <w:rFonts w:ascii="Arial" w:eastAsia="Arial" w:hAnsi="Arial" w:cs="Arial"/>
          <w:b/>
          <w:bCs/>
          <w:sz w:val="22"/>
          <w:szCs w:val="22"/>
        </w:rPr>
        <w:t xml:space="preserve"> 1.939</w:t>
      </w:r>
      <w:r w:rsidRPr="003B0D80">
        <w:rPr>
          <w:rFonts w:ascii="Arial" w:eastAsia="Arial" w:hAnsi="Arial" w:cs="Arial"/>
          <w:sz w:val="22"/>
          <w:szCs w:val="22"/>
        </w:rPr>
        <w:t>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Verificación de la capacidad legal del vendedor (mayoría de edad y ausencia de interdicción).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Si el inmueble pertenece a una comunidad, verificar la cuota de cada comunero, el consentimiento de todos ellos y la eventual existencia de un derecho de tanteo o retracto pactado.</w:t>
      </w:r>
    </w:p>
    <w:p w:rsidR="005C7319" w:rsidRPr="003B0D80" w:rsidRDefault="00000000">
      <w:pPr>
        <w:pBdr>
          <w:bottom w:val="single" w:sz="6" w:space="4" w:color="D6266F"/>
        </w:pBdr>
        <w:spacing w:before="300" w:after="140"/>
        <w:rPr>
          <w:rFonts w:ascii="Arial" w:hAnsi="Arial" w:cs="Arial"/>
          <w:sz w:val="22"/>
          <w:szCs w:val="22"/>
        </w:rPr>
      </w:pPr>
      <w:r w:rsidRPr="003B0D80">
        <w:rPr>
          <w:rFonts w:ascii="Arial" w:eastAsia="Arial" w:hAnsi="Arial" w:cs="Arial"/>
          <w:b/>
          <w:bCs/>
          <w:color w:val="8E1152"/>
          <w:sz w:val="22"/>
          <w:szCs w:val="22"/>
        </w:rPr>
        <w:t>III. SITUACIÓN TRIBUTARIA Y DEUDAS DEL INMUEBLE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Certificado de deuda de contribuciones de bienes raíces (Tesorería General de la República), verificando que se encuentren al día.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Avalúo fiscal vigente ante el SII y verificación de si el inmueble está acogido al régimen DFL 2 u otro beneficio especial.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Certificado de no expropiación, ante la municipalidad, el SERVIU o el MOP, según corresponda al proyecto vial o urbano del sector.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 xml:space="preserve">Si el inmueble es una unidad en copropiedad, certificado de deuda de gastos comunes emitido por la administración, considerando que estas deudas pueden transmitirse al nuevo propietario conforme a la </w:t>
      </w:r>
      <w:r w:rsidRPr="003B0D80">
        <w:rPr>
          <w:rFonts w:ascii="Arial" w:eastAsia="Arial" w:hAnsi="Arial" w:cs="Arial"/>
          <w:b/>
          <w:bCs/>
          <w:sz w:val="22"/>
          <w:szCs w:val="22"/>
        </w:rPr>
        <w:t xml:space="preserve">Ley </w:t>
      </w:r>
      <w:proofErr w:type="spellStart"/>
      <w:r w:rsidRPr="003B0D80">
        <w:rPr>
          <w:rFonts w:ascii="Arial" w:eastAsia="Arial" w:hAnsi="Arial" w:cs="Arial"/>
          <w:b/>
          <w:bCs/>
          <w:sz w:val="22"/>
          <w:szCs w:val="22"/>
        </w:rPr>
        <w:t>N°</w:t>
      </w:r>
      <w:proofErr w:type="spellEnd"/>
      <w:r w:rsidRPr="003B0D80">
        <w:rPr>
          <w:rFonts w:ascii="Arial" w:eastAsia="Arial" w:hAnsi="Arial" w:cs="Arial"/>
          <w:b/>
          <w:bCs/>
          <w:sz w:val="22"/>
          <w:szCs w:val="22"/>
        </w:rPr>
        <w:t xml:space="preserve"> 21.442</w:t>
      </w:r>
      <w:r w:rsidRPr="003B0D80">
        <w:rPr>
          <w:rFonts w:ascii="Arial" w:eastAsia="Arial" w:hAnsi="Arial" w:cs="Arial"/>
          <w:sz w:val="22"/>
          <w:szCs w:val="22"/>
        </w:rPr>
        <w:t>, sobre Copropiedad Inmobiliaria.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Verificación de deudas de servicios básicos (agua, electricidad, gas) que pudieran derivar en algún gravamen o dificultar el cambio de titularidad.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 xml:space="preserve">Evaluación de la aplicación de IVA a la operación, distinguiendo si el vendedor es </w:t>
      </w:r>
      <w:r w:rsidRPr="003B0D80">
        <w:rPr>
          <w:rFonts w:ascii="Arial" w:eastAsia="Arial" w:hAnsi="Arial" w:cs="Arial"/>
          <w:b/>
          <w:bCs/>
          <w:sz w:val="22"/>
          <w:szCs w:val="22"/>
        </w:rPr>
        <w:t>habitual</w:t>
      </w:r>
      <w:r w:rsidRPr="003B0D80">
        <w:rPr>
          <w:rFonts w:ascii="Arial" w:eastAsia="Arial" w:hAnsi="Arial" w:cs="Arial"/>
          <w:sz w:val="22"/>
          <w:szCs w:val="22"/>
        </w:rPr>
        <w:t xml:space="preserve"> o no habitual en los términos de los artículos 2° </w:t>
      </w:r>
      <w:proofErr w:type="spellStart"/>
      <w:r w:rsidRPr="003B0D80">
        <w:rPr>
          <w:rFonts w:ascii="Arial" w:eastAsia="Arial" w:hAnsi="Arial" w:cs="Arial"/>
          <w:sz w:val="22"/>
          <w:szCs w:val="22"/>
        </w:rPr>
        <w:t>N°</w:t>
      </w:r>
      <w:proofErr w:type="spellEnd"/>
      <w:r w:rsidRPr="003B0D80">
        <w:rPr>
          <w:rFonts w:ascii="Arial" w:eastAsia="Arial" w:hAnsi="Arial" w:cs="Arial"/>
          <w:sz w:val="22"/>
          <w:szCs w:val="22"/>
        </w:rPr>
        <w:t xml:space="preserve"> 3 y 8° letra l) del D.L. </w:t>
      </w:r>
      <w:proofErr w:type="spellStart"/>
      <w:r w:rsidRPr="003B0D80">
        <w:rPr>
          <w:rFonts w:ascii="Arial" w:eastAsia="Arial" w:hAnsi="Arial" w:cs="Arial"/>
          <w:sz w:val="22"/>
          <w:szCs w:val="22"/>
        </w:rPr>
        <w:t>N°</w:t>
      </w:r>
      <w:proofErr w:type="spellEnd"/>
      <w:r w:rsidRPr="003B0D80">
        <w:rPr>
          <w:rFonts w:ascii="Arial" w:eastAsia="Arial" w:hAnsi="Arial" w:cs="Arial"/>
          <w:sz w:val="22"/>
          <w:szCs w:val="22"/>
        </w:rPr>
        <w:t xml:space="preserve"> 825.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 xml:space="preserve">Si se trata de una vivienda nueva, verificar la eventual aplicación de la </w:t>
      </w:r>
      <w:r w:rsidRPr="003B0D80">
        <w:rPr>
          <w:rFonts w:ascii="Arial" w:eastAsia="Arial" w:hAnsi="Arial" w:cs="Arial"/>
          <w:b/>
          <w:bCs/>
          <w:sz w:val="22"/>
          <w:szCs w:val="22"/>
        </w:rPr>
        <w:t>exención transitoria de IVA</w:t>
      </w:r>
      <w:r w:rsidRPr="003B0D80">
        <w:rPr>
          <w:rFonts w:ascii="Arial" w:eastAsia="Arial" w:hAnsi="Arial" w:cs="Arial"/>
          <w:sz w:val="22"/>
          <w:szCs w:val="22"/>
        </w:rPr>
        <w:t xml:space="preserve"> contemplada en la reforma tributaria conocida como “Plan de Reconstrucción Nacional”, despachada por el Congreso el 5 de agosto de 2026 —</w:t>
      </w:r>
      <w:r w:rsidRPr="003B0D80">
        <w:rPr>
          <w:rFonts w:ascii="Arial" w:eastAsia="Arial" w:hAnsi="Arial" w:cs="Arial"/>
          <w:i/>
          <w:iCs/>
          <w:color w:val="8E1152"/>
          <w:sz w:val="22"/>
          <w:szCs w:val="22"/>
        </w:rPr>
        <w:t xml:space="preserve"> verificar su publicación en el Diario Oficial y la vigencia exacta antes de aplicarla, por tratarse de una norma de reciente tramitación.</w:t>
      </w:r>
    </w:p>
    <w:p w:rsidR="005C7319" w:rsidRDefault="00000000">
      <w:pPr>
        <w:spacing w:after="90" w:line="276" w:lineRule="auto"/>
        <w:ind w:left="260" w:hanging="260"/>
        <w:jc w:val="both"/>
        <w:rPr>
          <w:rFonts w:ascii="Arial" w:eastAsia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lastRenderedPageBreak/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Evaluar la incidencia del impuesto al mayor valor en la enajenación para el vendedor (</w:t>
      </w:r>
      <w:r w:rsidRPr="003B0D80">
        <w:rPr>
          <w:rFonts w:ascii="Arial" w:eastAsia="Arial" w:hAnsi="Arial" w:cs="Arial"/>
          <w:b/>
          <w:bCs/>
          <w:sz w:val="22"/>
          <w:szCs w:val="22"/>
        </w:rPr>
        <w:t xml:space="preserve">artículo 17 </w:t>
      </w:r>
      <w:proofErr w:type="spellStart"/>
      <w:r w:rsidRPr="003B0D80">
        <w:rPr>
          <w:rFonts w:ascii="Arial" w:eastAsia="Arial" w:hAnsi="Arial" w:cs="Arial"/>
          <w:b/>
          <w:bCs/>
          <w:sz w:val="22"/>
          <w:szCs w:val="22"/>
        </w:rPr>
        <w:t>N°</w:t>
      </w:r>
      <w:proofErr w:type="spellEnd"/>
      <w:r w:rsidRPr="003B0D80">
        <w:rPr>
          <w:rFonts w:ascii="Arial" w:eastAsia="Arial" w:hAnsi="Arial" w:cs="Arial"/>
          <w:b/>
          <w:bCs/>
          <w:sz w:val="22"/>
          <w:szCs w:val="22"/>
        </w:rPr>
        <w:t xml:space="preserve"> 8 de la Ley sobre Impuesto a la Renta</w:t>
      </w:r>
      <w:r w:rsidRPr="003B0D80">
        <w:rPr>
          <w:rFonts w:ascii="Arial" w:eastAsia="Arial" w:hAnsi="Arial" w:cs="Arial"/>
          <w:sz w:val="22"/>
          <w:szCs w:val="22"/>
        </w:rPr>
        <w:t>), en especial si es un factor relevante en la negociación del precio.</w:t>
      </w:r>
    </w:p>
    <w:p w:rsidR="003B0D80" w:rsidRPr="003B0D80" w:rsidRDefault="003B0D8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</w:p>
    <w:p w:rsidR="005C7319" w:rsidRDefault="00000000" w:rsidP="003B0D80">
      <w:pPr>
        <w:pBdr>
          <w:bottom w:val="single" w:sz="12" w:space="1" w:color="auto"/>
        </w:pBdr>
        <w:rPr>
          <w:rFonts w:ascii="Arial" w:eastAsia="Arial" w:hAnsi="Arial" w:cs="Arial"/>
          <w:b/>
          <w:bCs/>
          <w:color w:val="8E1152"/>
          <w:sz w:val="22"/>
          <w:szCs w:val="22"/>
        </w:rPr>
      </w:pPr>
      <w:r w:rsidRPr="003B0D80">
        <w:rPr>
          <w:rFonts w:ascii="Arial" w:eastAsia="Arial" w:hAnsi="Arial" w:cs="Arial"/>
          <w:b/>
          <w:bCs/>
          <w:color w:val="8E1152"/>
          <w:sz w:val="22"/>
          <w:szCs w:val="22"/>
        </w:rPr>
        <w:t>IV. SITUACIÓN URBANÍSTICA Y MUNICIPAL</w:t>
      </w:r>
    </w:p>
    <w:p w:rsidR="003B0D80" w:rsidRPr="003B0D80" w:rsidRDefault="003B0D80" w:rsidP="003B0D80">
      <w:pPr>
        <w:rPr>
          <w:rFonts w:ascii="Arial" w:hAnsi="Arial" w:cs="Arial"/>
          <w:sz w:val="22"/>
          <w:szCs w:val="22"/>
        </w:rPr>
      </w:pP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Certificado de informaciones previas (Dirección de Obras Municipales), con el uso de suelo y normas urbanísticas aplicables.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Recepción municipal definitiva de la construcción existente en el predio.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Verificación de que la construcción coincide con los planos aprobados, para descartar ampliaciones o modificaciones no regularizadas.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Patente comercial vigente, si el inmueble tiene un uso distinto del habitacional.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Revisión del Plan Regulador Comunal e Intercomunal aplicable, y de proyectos de expropiación o vialidad que puedan afectar el predio.</w:t>
      </w:r>
    </w:p>
    <w:p w:rsidR="005C7319" w:rsidRPr="003B0D80" w:rsidRDefault="00000000">
      <w:pPr>
        <w:pBdr>
          <w:bottom w:val="single" w:sz="6" w:space="4" w:color="D6266F"/>
        </w:pBdr>
        <w:spacing w:before="300" w:after="140"/>
        <w:rPr>
          <w:rFonts w:ascii="Arial" w:hAnsi="Arial" w:cs="Arial"/>
          <w:sz w:val="22"/>
          <w:szCs w:val="22"/>
        </w:rPr>
      </w:pPr>
      <w:r w:rsidRPr="003B0D80">
        <w:rPr>
          <w:rFonts w:ascii="Arial" w:eastAsia="Arial" w:hAnsi="Arial" w:cs="Arial"/>
          <w:b/>
          <w:bCs/>
          <w:color w:val="8E1152"/>
          <w:sz w:val="22"/>
          <w:szCs w:val="22"/>
        </w:rPr>
        <w:t>V. PROMESA DE COMPRAVENTA (SI CORRESPONDE)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Individualización completa de las partes y del inmueble prometido.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Precio, forma de pago, plazos y sistema de reajustabilidad claramente definidos.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Plazo y condiciones para la celebración del contrato definitivo de compraventa.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Cláusula penal y condición resolutoria en caso de incumplimiento de cualquiera de las partes.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 xml:space="preserve">Si la venta es en verde o antes de la recepción municipal definitiva, exigir la garantía del pie conforme al </w:t>
      </w:r>
      <w:r w:rsidRPr="003B0D80">
        <w:rPr>
          <w:rFonts w:ascii="Arial" w:eastAsia="Arial" w:hAnsi="Arial" w:cs="Arial"/>
          <w:b/>
          <w:bCs/>
          <w:sz w:val="22"/>
          <w:szCs w:val="22"/>
        </w:rPr>
        <w:t>artículo 138 bis de la Ley General de Urbanismo y Construcciones</w:t>
      </w:r>
      <w:r w:rsidRPr="003B0D80">
        <w:rPr>
          <w:rFonts w:ascii="Arial" w:eastAsia="Arial" w:hAnsi="Arial" w:cs="Arial"/>
          <w:sz w:val="22"/>
          <w:szCs w:val="22"/>
        </w:rPr>
        <w:t>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Evaluar la conveniencia de inscribir la promesa en el Registro de Prohibiciones del CBR para reforzar su oponibilidad frente a terceros.</w:t>
      </w:r>
    </w:p>
    <w:p w:rsidR="005C7319" w:rsidRPr="003B0D80" w:rsidRDefault="00000000">
      <w:pPr>
        <w:pBdr>
          <w:bottom w:val="single" w:sz="6" w:space="4" w:color="D6266F"/>
        </w:pBdr>
        <w:spacing w:before="300" w:after="140"/>
        <w:rPr>
          <w:rFonts w:ascii="Arial" w:hAnsi="Arial" w:cs="Arial"/>
          <w:sz w:val="22"/>
          <w:szCs w:val="22"/>
        </w:rPr>
      </w:pPr>
      <w:r w:rsidRPr="003B0D80">
        <w:rPr>
          <w:rFonts w:ascii="Arial" w:eastAsia="Arial" w:hAnsi="Arial" w:cs="Arial"/>
          <w:b/>
          <w:bCs/>
          <w:color w:val="8E1152"/>
          <w:sz w:val="22"/>
          <w:szCs w:val="22"/>
        </w:rPr>
        <w:t>VI. FINANCIAMIENTO (SI HAY CRÉDITO HIPOTECARIO)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proofErr w:type="spellStart"/>
      <w:r w:rsidRPr="003B0D80">
        <w:rPr>
          <w:rFonts w:ascii="Arial" w:eastAsia="Arial" w:hAnsi="Arial" w:cs="Arial"/>
          <w:sz w:val="22"/>
          <w:szCs w:val="22"/>
        </w:rPr>
        <w:t>Pre-aprobación</w:t>
      </w:r>
      <w:proofErr w:type="spellEnd"/>
      <w:r w:rsidRPr="003B0D80">
        <w:rPr>
          <w:rFonts w:ascii="Arial" w:eastAsia="Arial" w:hAnsi="Arial" w:cs="Arial"/>
          <w:sz w:val="22"/>
          <w:szCs w:val="22"/>
        </w:rPr>
        <w:t xml:space="preserve"> bancaria y tasación comercial vigente del inmueble.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Verificación del plazo de vigencia de la tasación y de la aprobación del crédito.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Coordinación de la fecha de firma de la escritura con el banco, para la suscripción simultánea del mutuo hipotecario.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Estimación del impuesto de timbres y estampillas aplicable al mutuo, según el monto y plazo del crédito.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Verificación de los seguros obligatorios asociados al crédito (desgravamen, e incendio y sismo).</w:t>
      </w:r>
    </w:p>
    <w:p w:rsidR="005C7319" w:rsidRPr="003B0D80" w:rsidRDefault="00000000">
      <w:pPr>
        <w:pBdr>
          <w:bottom w:val="single" w:sz="6" w:space="4" w:color="D6266F"/>
        </w:pBdr>
        <w:spacing w:before="300" w:after="140"/>
        <w:rPr>
          <w:rFonts w:ascii="Arial" w:hAnsi="Arial" w:cs="Arial"/>
          <w:sz w:val="22"/>
          <w:szCs w:val="22"/>
        </w:rPr>
      </w:pPr>
      <w:r w:rsidRPr="003B0D80">
        <w:rPr>
          <w:rFonts w:ascii="Arial" w:eastAsia="Arial" w:hAnsi="Arial" w:cs="Arial"/>
          <w:b/>
          <w:bCs/>
          <w:color w:val="8E1152"/>
          <w:sz w:val="22"/>
          <w:szCs w:val="22"/>
        </w:rPr>
        <w:t>VII. ESCRITURA PÚBLICA DE COMPRAVENTA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lastRenderedPageBreak/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 xml:space="preserve">Redacción conforme a la solemnidad exigida por el </w:t>
      </w:r>
      <w:r w:rsidRPr="003B0D80">
        <w:rPr>
          <w:rFonts w:ascii="Arial" w:eastAsia="Arial" w:hAnsi="Arial" w:cs="Arial"/>
          <w:b/>
          <w:bCs/>
          <w:sz w:val="22"/>
          <w:szCs w:val="22"/>
        </w:rPr>
        <w:t>artículo 1.801, inciso segundo, del Código Civil</w:t>
      </w:r>
      <w:r w:rsidRPr="003B0D80">
        <w:rPr>
          <w:rFonts w:ascii="Arial" w:eastAsia="Arial" w:hAnsi="Arial" w:cs="Arial"/>
          <w:sz w:val="22"/>
          <w:szCs w:val="22"/>
        </w:rPr>
        <w:t xml:space="preserve"> para la compraventa de bienes raíces.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Individualización precisa del inmueble según su inscripción vigente (rol de avalúo, deslindes y superficie).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Declaración expresa sobre gravámenes, prohibiciones y estado de las contribuciones territoriales.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Constancia clara de la forma de pago del precio y de los pagos ya efectuados (pie, saldo, mutuo hipotecario).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Cláusulas de saneamiento de la evicción y de los vicios redhibitorios.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Coordinación del alzamiento de hipotecas o gravámenes previos, de forma simultánea o inmediatamente posterior a la firma.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Comparecencia de todas las partes necesarias: cónyuges cuando corresponda, representantes legales y el banco acreedor si existe mutuo hipotecario.</w:t>
      </w:r>
    </w:p>
    <w:p w:rsidR="005C7319" w:rsidRPr="003B0D80" w:rsidRDefault="00000000">
      <w:pPr>
        <w:pBdr>
          <w:bottom w:val="single" w:sz="6" w:space="4" w:color="D6266F"/>
        </w:pBdr>
        <w:spacing w:before="300" w:after="140"/>
        <w:rPr>
          <w:rFonts w:ascii="Arial" w:hAnsi="Arial" w:cs="Arial"/>
          <w:sz w:val="22"/>
          <w:szCs w:val="22"/>
        </w:rPr>
      </w:pPr>
      <w:r w:rsidRPr="003B0D80">
        <w:rPr>
          <w:rFonts w:ascii="Arial" w:eastAsia="Arial" w:hAnsi="Arial" w:cs="Arial"/>
          <w:b/>
          <w:bCs/>
          <w:color w:val="8E1152"/>
          <w:sz w:val="22"/>
          <w:szCs w:val="22"/>
        </w:rPr>
        <w:t>VIII. INSCRIPCIÓN Y TRÁMITES POSTERIORES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 xml:space="preserve">Inscripción de la escritura en el Registro de Propiedad del Conservador de Bienes Raíces competente, único modo de efectuar la tradición del dominio conforme al </w:t>
      </w:r>
      <w:r w:rsidRPr="003B0D80">
        <w:rPr>
          <w:rFonts w:ascii="Arial" w:eastAsia="Arial" w:hAnsi="Arial" w:cs="Arial"/>
          <w:b/>
          <w:bCs/>
          <w:sz w:val="22"/>
          <w:szCs w:val="22"/>
        </w:rPr>
        <w:t>artículo 686 del Código Civil</w:t>
      </w:r>
      <w:r w:rsidRPr="003B0D80">
        <w:rPr>
          <w:rFonts w:ascii="Arial" w:eastAsia="Arial" w:hAnsi="Arial" w:cs="Arial"/>
          <w:sz w:val="22"/>
          <w:szCs w:val="22"/>
        </w:rPr>
        <w:t>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Inscripción de la hipoteca, si existe crédito, en el mismo acto o inmediatamente después de la inscripción de dominio.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Solicitud de un nuevo certificado de dominio vigente, posterior a la inscripción, para confirmar la correcta inscripción a nombre del comprador.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Actualización del rol de contribuciones ante el SII y la Tesorería a nombre del nuevo propietario.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Cambio de titularidad de los servicios básicos (agua, electricidad, gas).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Verificación de la entrega material del inmueble mediante acta de entrega y revisión del estado de las instalaciones.</w:t>
      </w:r>
    </w:p>
    <w:p w:rsidR="005C7319" w:rsidRPr="003B0D80" w:rsidRDefault="00000000">
      <w:pPr>
        <w:spacing w:after="90" w:line="276" w:lineRule="auto"/>
        <w:ind w:left="260" w:hanging="260"/>
        <w:jc w:val="both"/>
        <w:rPr>
          <w:rFonts w:ascii="Arial" w:hAnsi="Arial" w:cs="Arial"/>
          <w:sz w:val="22"/>
          <w:szCs w:val="22"/>
        </w:rPr>
      </w:pPr>
      <w:r w:rsidRPr="003B0D80">
        <w:rPr>
          <w:rFonts w:ascii="Segoe UI Symbol" w:eastAsia="Arial" w:hAnsi="Segoe UI Symbol" w:cs="Segoe UI Symbol"/>
          <w:b/>
          <w:bCs/>
          <w:color w:val="D6266F"/>
          <w:sz w:val="22"/>
          <w:szCs w:val="22"/>
        </w:rPr>
        <w:t>☐</w:t>
      </w:r>
      <w:r w:rsidRPr="003B0D80">
        <w:rPr>
          <w:rFonts w:ascii="Arial" w:eastAsia="Arial" w:hAnsi="Arial" w:cs="Arial"/>
          <w:b/>
          <w:bCs/>
          <w:color w:val="D6266F"/>
          <w:sz w:val="22"/>
          <w:szCs w:val="22"/>
        </w:rPr>
        <w:t xml:space="preserve">  </w:t>
      </w:r>
      <w:r w:rsidRPr="003B0D80">
        <w:rPr>
          <w:rFonts w:ascii="Arial" w:eastAsia="Arial" w:hAnsi="Arial" w:cs="Arial"/>
          <w:sz w:val="22"/>
          <w:szCs w:val="22"/>
        </w:rPr>
        <w:t>Pago y verificación de los derechos notariales, derechos de inscripción del CBR y honorarios profesionales asociados.</w:t>
      </w:r>
    </w:p>
    <w:p w:rsidR="005C7319" w:rsidRPr="003B0D80" w:rsidRDefault="005C7319">
      <w:pPr>
        <w:spacing w:after="200"/>
        <w:rPr>
          <w:rFonts w:ascii="Arial" w:hAnsi="Arial" w:cs="Arial"/>
          <w:sz w:val="22"/>
          <w:szCs w:val="22"/>
        </w:rPr>
      </w:pPr>
    </w:p>
    <w:p w:rsidR="005C7319" w:rsidRPr="003B0D80" w:rsidRDefault="005C7319">
      <w:pPr>
        <w:spacing w:after="150"/>
        <w:rPr>
          <w:rFonts w:ascii="Arial" w:hAnsi="Arial" w:cs="Arial"/>
          <w:sz w:val="22"/>
          <w:szCs w:val="22"/>
        </w:rPr>
      </w:pPr>
    </w:p>
    <w:p w:rsidR="005C7319" w:rsidRPr="003B0D80" w:rsidRDefault="00000000">
      <w:pPr>
        <w:rPr>
          <w:rFonts w:ascii="Arial" w:hAnsi="Arial" w:cs="Arial"/>
          <w:sz w:val="22"/>
          <w:szCs w:val="22"/>
        </w:rPr>
      </w:pPr>
      <w:r w:rsidRPr="003B0D80">
        <w:rPr>
          <w:rFonts w:ascii="Arial" w:eastAsia="Arial" w:hAnsi="Arial" w:cs="Arial"/>
          <w:i/>
          <w:iCs/>
          <w:color w:val="6B5A66"/>
          <w:sz w:val="22"/>
          <w:szCs w:val="22"/>
        </w:rPr>
        <w:t>Documento de uso referencial para el estudio. Cada operación debe evaluarse conforme a sus antecedentes concretos y a la normativa vigente al momento de su celebración.</w:t>
      </w:r>
    </w:p>
    <w:sectPr w:rsidR="005C7319" w:rsidRPr="003B0D80">
      <w:headerReference w:type="default" r:id="rId7"/>
      <w:footerReference w:type="default" r:id="rId8"/>
      <w:pgSz w:w="12240" w:h="15840"/>
      <w:pgMar w:top="1350" w:right="1350" w:bottom="1350" w:left="135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24941" w:rsidRDefault="00524941">
      <w:r>
        <w:separator/>
      </w:r>
    </w:p>
  </w:endnote>
  <w:endnote w:type="continuationSeparator" w:id="0">
    <w:p w:rsidR="00524941" w:rsidRDefault="005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7319" w:rsidRDefault="005C7319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24941" w:rsidRDefault="00524941">
      <w:r>
        <w:separator/>
      </w:r>
    </w:p>
  </w:footnote>
  <w:footnote w:type="continuationSeparator" w:id="0">
    <w:p w:rsidR="00524941" w:rsidRDefault="005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C7319" w:rsidRDefault="005C7319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466C3"/>
    <w:multiLevelType w:val="hybridMultilevel"/>
    <w:tmpl w:val="2FE85930"/>
    <w:lvl w:ilvl="0" w:tplc="003C3E0E">
      <w:start w:val="1"/>
      <w:numFmt w:val="bullet"/>
      <w:lvlText w:val="●"/>
      <w:lvlJc w:val="left"/>
      <w:pPr>
        <w:ind w:left="720" w:hanging="360"/>
      </w:pPr>
    </w:lvl>
    <w:lvl w:ilvl="1" w:tplc="2C4014F2">
      <w:start w:val="1"/>
      <w:numFmt w:val="bullet"/>
      <w:lvlText w:val="○"/>
      <w:lvlJc w:val="left"/>
      <w:pPr>
        <w:ind w:left="1440" w:hanging="360"/>
      </w:pPr>
    </w:lvl>
    <w:lvl w:ilvl="2" w:tplc="F5C2BCE4">
      <w:start w:val="1"/>
      <w:numFmt w:val="bullet"/>
      <w:lvlText w:val="■"/>
      <w:lvlJc w:val="left"/>
      <w:pPr>
        <w:ind w:left="2160" w:hanging="360"/>
      </w:pPr>
    </w:lvl>
    <w:lvl w:ilvl="3" w:tplc="FCE0D99C">
      <w:start w:val="1"/>
      <w:numFmt w:val="bullet"/>
      <w:lvlText w:val="●"/>
      <w:lvlJc w:val="left"/>
      <w:pPr>
        <w:ind w:left="2880" w:hanging="360"/>
      </w:pPr>
    </w:lvl>
    <w:lvl w:ilvl="4" w:tplc="CA8AA58A">
      <w:start w:val="1"/>
      <w:numFmt w:val="bullet"/>
      <w:lvlText w:val="○"/>
      <w:lvlJc w:val="left"/>
      <w:pPr>
        <w:ind w:left="3600" w:hanging="360"/>
      </w:pPr>
    </w:lvl>
    <w:lvl w:ilvl="5" w:tplc="5382F396">
      <w:start w:val="1"/>
      <w:numFmt w:val="bullet"/>
      <w:lvlText w:val="■"/>
      <w:lvlJc w:val="left"/>
      <w:pPr>
        <w:ind w:left="4320" w:hanging="360"/>
      </w:pPr>
    </w:lvl>
    <w:lvl w:ilvl="6" w:tplc="601A495A">
      <w:start w:val="1"/>
      <w:numFmt w:val="bullet"/>
      <w:lvlText w:val="●"/>
      <w:lvlJc w:val="left"/>
      <w:pPr>
        <w:ind w:left="5040" w:hanging="360"/>
      </w:pPr>
    </w:lvl>
    <w:lvl w:ilvl="7" w:tplc="65B08B8E">
      <w:start w:val="1"/>
      <w:numFmt w:val="bullet"/>
      <w:lvlText w:val="●"/>
      <w:lvlJc w:val="left"/>
      <w:pPr>
        <w:ind w:left="5760" w:hanging="360"/>
      </w:pPr>
    </w:lvl>
    <w:lvl w:ilvl="8" w:tplc="32649046">
      <w:start w:val="1"/>
      <w:numFmt w:val="bullet"/>
      <w:lvlText w:val="●"/>
      <w:lvlJc w:val="left"/>
      <w:pPr>
        <w:ind w:left="6480" w:hanging="360"/>
      </w:pPr>
    </w:lvl>
  </w:abstractNum>
  <w:num w:numId="1" w16cid:durableId="16667387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19"/>
    <w:rsid w:val="003B0D80"/>
    <w:rsid w:val="00524941"/>
    <w:rsid w:val="005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F71DAA"/>
  <w15:docId w15:val="{79816D13-866D-9149-8202-EC79D530C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B0D8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0D80"/>
  </w:style>
  <w:style w:type="paragraph" w:styleId="Piedepgina">
    <w:name w:val="footer"/>
    <w:basedOn w:val="Normal"/>
    <w:link w:val="PiedepginaCar"/>
    <w:uiPriority w:val="99"/>
    <w:unhideWhenUsed/>
    <w:rsid w:val="003B0D8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0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1227</Words>
  <Characters>6750</Characters>
  <Application>Microsoft Office Word</Application>
  <DocSecurity>0</DocSecurity>
  <Lines>56</Lines>
  <Paragraphs>15</Paragraphs>
  <ScaleCrop>false</ScaleCrop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2026-08-21T03:57:00Z</dcterms:created>
  <dcterms:modified xsi:type="dcterms:W3CDTF">2026-08-21T03:57:00Z</dcterms:modified>
</cp:coreProperties>
</file>